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EE0E4" w14:textId="41DEBFC7" w:rsidR="00442CF5" w:rsidRPr="007604F2" w:rsidRDefault="00442CF5" w:rsidP="00442CF5">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bookmarkStart w:id="2" w:name="_GoBack"/>
      <w:bookmarkEnd w:id="2"/>
      <w:r w:rsidRPr="007604F2">
        <w:rPr>
          <w:rFonts w:ascii="Arial" w:hAnsi="Arial" w:cs="Arial"/>
          <w:b/>
          <w:bCs/>
          <w:noProof/>
          <w:sz w:val="24"/>
          <w:szCs w:val="24"/>
        </w:rPr>
        <w:t>3GPP TSG RAN WG1 Meeting #</w:t>
      </w:r>
      <w:r>
        <w:rPr>
          <w:rFonts w:ascii="Arial" w:eastAsia="MS Mincho" w:hAnsi="Arial" w:cs="Arial"/>
          <w:b/>
          <w:bCs/>
          <w:noProof/>
          <w:sz w:val="24"/>
          <w:szCs w:val="24"/>
          <w:lang w:eastAsia="ja-JP"/>
        </w:rPr>
        <w:t>88bis</w:t>
      </w:r>
      <w:r>
        <w:rPr>
          <w:rFonts w:ascii="Arial" w:eastAsia="MS Mincho" w:hAnsi="Arial" w:cs="Arial"/>
          <w:b/>
          <w:bCs/>
          <w:noProof/>
          <w:sz w:val="24"/>
          <w:szCs w:val="24"/>
          <w:lang w:eastAsia="ja-JP"/>
        </w:rPr>
        <w:tab/>
        <w:t xml:space="preserve">       </w:t>
      </w:r>
      <w:r>
        <w:rPr>
          <w:rFonts w:ascii="Arial" w:eastAsia="MS Mincho" w:hAnsi="Arial" w:cs="Arial"/>
          <w:b/>
          <w:bCs/>
          <w:noProof/>
          <w:sz w:val="24"/>
          <w:szCs w:val="24"/>
          <w:lang w:eastAsia="ja-JP"/>
        </w:rPr>
        <w:tab/>
      </w:r>
      <w:r w:rsidR="00F668CB" w:rsidRPr="00F668CB">
        <w:rPr>
          <w:rFonts w:ascii="Arial" w:hAnsi="Arial" w:cs="Arial"/>
          <w:b/>
          <w:bCs/>
          <w:noProof/>
          <w:sz w:val="24"/>
          <w:szCs w:val="24"/>
        </w:rPr>
        <w:t>R1-1705939</w:t>
      </w:r>
    </w:p>
    <w:p w14:paraId="62C6335D" w14:textId="77777777" w:rsidR="00442CF5" w:rsidRPr="007604F2" w:rsidRDefault="00442CF5" w:rsidP="00442CF5">
      <w:pPr>
        <w:widowControl w:val="0"/>
        <w:tabs>
          <w:tab w:val="right" w:pos="8280"/>
          <w:tab w:val="right" w:pos="9781"/>
        </w:tabs>
        <w:spacing w:after="0"/>
        <w:ind w:right="-58"/>
        <w:rPr>
          <w:rFonts w:ascii="Arial" w:hAnsi="Arial" w:cs="Arial"/>
          <w:b/>
          <w:bCs/>
          <w:noProof/>
          <w:sz w:val="24"/>
          <w:szCs w:val="24"/>
        </w:rPr>
      </w:pPr>
      <w:r>
        <w:rPr>
          <w:rFonts w:ascii="Arial" w:hAnsi="Arial" w:cs="Arial"/>
          <w:b/>
          <w:bCs/>
          <w:noProof/>
          <w:sz w:val="24"/>
          <w:szCs w:val="24"/>
        </w:rPr>
        <w:t>Spokane</w:t>
      </w:r>
      <w:r w:rsidRPr="007604F2">
        <w:rPr>
          <w:rFonts w:ascii="Arial" w:hAnsi="Arial" w:cs="Arial"/>
          <w:b/>
          <w:bCs/>
          <w:noProof/>
          <w:sz w:val="24"/>
          <w:szCs w:val="24"/>
        </w:rPr>
        <w:t xml:space="preserve">, </w:t>
      </w:r>
      <w:r>
        <w:rPr>
          <w:rFonts w:ascii="Arial" w:hAnsi="Arial" w:cs="Arial"/>
          <w:b/>
          <w:bCs/>
          <w:noProof/>
          <w:sz w:val="24"/>
          <w:szCs w:val="24"/>
        </w:rPr>
        <w:t>USA</w:t>
      </w:r>
      <w:r w:rsidRPr="007604F2">
        <w:rPr>
          <w:rFonts w:ascii="Arial" w:hAnsi="Arial" w:cs="Arial"/>
          <w:b/>
          <w:bCs/>
          <w:noProof/>
          <w:sz w:val="24"/>
          <w:szCs w:val="24"/>
        </w:rPr>
        <w:t xml:space="preserve">, </w:t>
      </w:r>
      <w:r w:rsidRPr="00941D99">
        <w:rPr>
          <w:rFonts w:ascii="Arial" w:hAnsi="Arial" w:cs="Arial"/>
          <w:b/>
          <w:bCs/>
          <w:noProof/>
          <w:sz w:val="24"/>
          <w:szCs w:val="24"/>
        </w:rPr>
        <w:t>3 - 7 Apr 2017</w:t>
      </w:r>
    </w:p>
    <w:p w14:paraId="35BDDC88" w14:textId="77777777" w:rsidR="00005DBD" w:rsidRPr="00744368" w:rsidRDefault="00005DBD" w:rsidP="00005DBD">
      <w:pPr>
        <w:pStyle w:val="FootnoteText"/>
        <w:rPr>
          <w:lang w:val="en-US"/>
        </w:rPr>
      </w:pPr>
    </w:p>
    <w:p w14:paraId="35BDDC89" w14:textId="77777777" w:rsidR="00005DBD" w:rsidRPr="00744368" w:rsidRDefault="00005DBD" w:rsidP="00005DBD">
      <w:pPr>
        <w:pStyle w:val="TdocHeader2"/>
        <w:jc w:val="left"/>
        <w:rPr>
          <w:sz w:val="20"/>
          <w:lang w:val="en-US"/>
        </w:rPr>
      </w:pPr>
      <w:r w:rsidRPr="00744368">
        <w:rPr>
          <w:sz w:val="20"/>
          <w:lang w:val="en-US"/>
        </w:rPr>
        <w:t xml:space="preserve">Source: </w:t>
      </w:r>
      <w:r w:rsidRPr="00744368">
        <w:rPr>
          <w:sz w:val="20"/>
          <w:lang w:val="en-US"/>
        </w:rPr>
        <w:tab/>
        <w:t>Ericsson</w:t>
      </w:r>
    </w:p>
    <w:p w14:paraId="35BDDC8A" w14:textId="52719D8C" w:rsidR="00005DBD" w:rsidRPr="00744368" w:rsidRDefault="00005DBD" w:rsidP="00005DBD">
      <w:pPr>
        <w:pStyle w:val="TdocHeader2"/>
        <w:jc w:val="left"/>
        <w:rPr>
          <w:sz w:val="20"/>
          <w:lang w:val="en-US"/>
        </w:rPr>
      </w:pPr>
      <w:r w:rsidRPr="00744368">
        <w:rPr>
          <w:sz w:val="20"/>
          <w:lang w:val="en-US"/>
        </w:rPr>
        <w:t>Title:</w:t>
      </w:r>
      <w:bookmarkStart w:id="3" w:name="Title"/>
      <w:bookmarkEnd w:id="3"/>
      <w:r w:rsidRPr="00744368">
        <w:rPr>
          <w:sz w:val="20"/>
          <w:lang w:val="en-US"/>
        </w:rPr>
        <w:tab/>
      </w:r>
      <w:r w:rsidR="00442CF5">
        <w:rPr>
          <w:sz w:val="20"/>
          <w:lang w:val="en-US"/>
        </w:rPr>
        <w:t>Half-symbol transmission for AGC and GP</w:t>
      </w:r>
    </w:p>
    <w:p w14:paraId="35BDDC8B" w14:textId="471FBF99" w:rsidR="00005DBD" w:rsidRPr="00744368" w:rsidRDefault="00005DBD" w:rsidP="00005DBD">
      <w:pPr>
        <w:pStyle w:val="TdocHeader2"/>
        <w:jc w:val="left"/>
        <w:rPr>
          <w:sz w:val="20"/>
          <w:lang w:val="en-US"/>
        </w:rPr>
      </w:pPr>
      <w:r w:rsidRPr="00744368">
        <w:rPr>
          <w:sz w:val="20"/>
          <w:lang w:val="en-US"/>
        </w:rPr>
        <w:t>Agenda Item:</w:t>
      </w:r>
      <w:r w:rsidRPr="00744368">
        <w:rPr>
          <w:sz w:val="20"/>
          <w:lang w:val="en-US"/>
        </w:rPr>
        <w:tab/>
      </w:r>
      <w:r w:rsidR="0054357E">
        <w:rPr>
          <w:rFonts w:cs="Arial"/>
          <w:color w:val="312E25"/>
          <w:szCs w:val="18"/>
          <w:lang w:eastAsia="sv-SE"/>
        </w:rPr>
        <w:t>7.2.3.1.2</w:t>
      </w:r>
    </w:p>
    <w:p w14:paraId="35BDDC8C" w14:textId="77777777" w:rsidR="00005DBD" w:rsidRPr="007F1723" w:rsidRDefault="00005DBD" w:rsidP="00005DBD">
      <w:pPr>
        <w:pStyle w:val="TdocHeader2"/>
        <w:jc w:val="left"/>
        <w:rPr>
          <w:sz w:val="20"/>
          <w:lang w:val="en-US"/>
        </w:rPr>
      </w:pPr>
      <w:r w:rsidRPr="00744368">
        <w:rPr>
          <w:sz w:val="20"/>
          <w:lang w:val="en-US"/>
        </w:rPr>
        <w:t>Document for:</w:t>
      </w:r>
      <w:r w:rsidRPr="00744368">
        <w:rPr>
          <w:sz w:val="20"/>
          <w:lang w:val="en-US"/>
        </w:rPr>
        <w:tab/>
        <w:t>Discussion and Decision</w:t>
      </w:r>
    </w:p>
    <w:bookmarkEnd w:id="0"/>
    <w:bookmarkEnd w:id="1"/>
    <w:p w14:paraId="35BDDC8D" w14:textId="77777777" w:rsidR="00D77223" w:rsidRDefault="00D77223" w:rsidP="008A63F4">
      <w:pPr>
        <w:pStyle w:val="Heading1"/>
      </w:pPr>
      <w:r w:rsidRPr="007F1723">
        <w:t>Introduction</w:t>
      </w:r>
    </w:p>
    <w:p w14:paraId="34D2657C" w14:textId="5B032314" w:rsidR="00E643B0" w:rsidRDefault="00E643B0" w:rsidP="00E643B0">
      <w:pPr>
        <w:pStyle w:val="BodyText"/>
        <w:spacing w:before="240" w:after="240"/>
        <w:jc w:val="both"/>
        <w:rPr>
          <w:sz w:val="20"/>
          <w:szCs w:val="20"/>
        </w:rPr>
      </w:pPr>
      <w:r>
        <w:rPr>
          <w:sz w:val="20"/>
          <w:szCs w:val="20"/>
        </w:rPr>
        <w:t xml:space="preserve">The WID </w:t>
      </w:r>
      <w:r w:rsidR="00646093">
        <w:rPr>
          <w:rFonts w:eastAsia="Malgun Gothic"/>
          <w:sz w:val="20"/>
          <w:szCs w:val="20"/>
          <w:lang w:eastAsia="ko-KR"/>
        </w:rPr>
        <w:fldChar w:fldCharType="begin"/>
      </w:r>
      <w:r w:rsidR="00646093">
        <w:rPr>
          <w:sz w:val="20"/>
          <w:szCs w:val="20"/>
        </w:rPr>
        <w:instrText xml:space="preserve"> REF _Ref478127035 \r \h </w:instrText>
      </w:r>
      <w:r w:rsidR="00646093">
        <w:rPr>
          <w:rFonts w:eastAsia="Malgun Gothic"/>
          <w:sz w:val="20"/>
          <w:szCs w:val="20"/>
          <w:lang w:eastAsia="ko-KR"/>
        </w:rPr>
      </w:r>
      <w:r w:rsidR="00646093">
        <w:rPr>
          <w:rFonts w:eastAsia="Malgun Gothic"/>
          <w:sz w:val="20"/>
          <w:szCs w:val="20"/>
          <w:lang w:eastAsia="ko-KR"/>
        </w:rPr>
        <w:fldChar w:fldCharType="separate"/>
      </w:r>
      <w:r w:rsidR="001A5835">
        <w:rPr>
          <w:sz w:val="20"/>
          <w:szCs w:val="20"/>
        </w:rPr>
        <w:t>[1]</w:t>
      </w:r>
      <w:r w:rsidR="00646093">
        <w:rPr>
          <w:rFonts w:eastAsia="Malgun Gothic"/>
          <w:sz w:val="20"/>
          <w:szCs w:val="20"/>
          <w:lang w:eastAsia="ko-KR"/>
        </w:rPr>
        <w:fldChar w:fldCharType="end"/>
      </w:r>
      <w:r>
        <w:rPr>
          <w:rFonts w:eastAsia="Malgun Gothic"/>
          <w:sz w:val="20"/>
          <w:szCs w:val="20"/>
          <w:lang w:eastAsia="ko-KR"/>
        </w:rPr>
        <w:t xml:space="preserve"> </w:t>
      </w:r>
      <w:r>
        <w:rPr>
          <w:sz w:val="20"/>
          <w:szCs w:val="20"/>
        </w:rPr>
        <w:t>agreed by RAN plenary, has the following objective:</w:t>
      </w:r>
    </w:p>
    <w:p w14:paraId="068C2476" w14:textId="77777777" w:rsidR="00E643B0" w:rsidRPr="00CF4679" w:rsidRDefault="00E643B0" w:rsidP="00E643B0">
      <w:pPr>
        <w:numPr>
          <w:ilvl w:val="0"/>
          <w:numId w:val="42"/>
        </w:numPr>
        <w:overflowPunct w:val="0"/>
        <w:autoSpaceDE w:val="0"/>
        <w:autoSpaceDN w:val="0"/>
        <w:jc w:val="both"/>
        <w:rPr>
          <w:lang w:eastAsia="zh-CN"/>
        </w:rPr>
      </w:pPr>
      <w:r>
        <w:rPr>
          <w:rFonts w:hint="eastAsia"/>
          <w:lang w:eastAsia="zh-CN"/>
        </w:rPr>
        <w:t xml:space="preserve">Specify </w:t>
      </w:r>
      <w:r>
        <w:rPr>
          <w:lang w:eastAsia="zh-CN"/>
        </w:rPr>
        <w:t>solutions</w:t>
      </w:r>
      <w:r>
        <w:rPr>
          <w:rFonts w:hint="eastAsia"/>
          <w:lang w:eastAsia="zh-CN"/>
        </w:rPr>
        <w:t xml:space="preserve"> for the </w:t>
      </w:r>
      <w:r>
        <w:rPr>
          <w:lang w:eastAsia="zh-CN"/>
        </w:rPr>
        <w:t>fo</w:t>
      </w:r>
      <w:r>
        <w:rPr>
          <w:rFonts w:hint="eastAsia"/>
          <w:lang w:eastAsia="zh-CN"/>
        </w:rPr>
        <w:t xml:space="preserve">llowing </w:t>
      </w:r>
      <w:r w:rsidRPr="00CF4679">
        <w:rPr>
          <w:lang w:eastAsia="zh-CN"/>
        </w:rPr>
        <w:t xml:space="preserve">PC5 </w:t>
      </w:r>
      <w:r>
        <w:rPr>
          <w:lang w:eastAsia="zh-CN"/>
        </w:rPr>
        <w:t>functionalit</w:t>
      </w:r>
      <w:r>
        <w:rPr>
          <w:rFonts w:hint="eastAsia"/>
          <w:lang w:eastAsia="zh-CN"/>
        </w:rPr>
        <w:t>ies,</w:t>
      </w:r>
      <w:r w:rsidRPr="00CF4679">
        <w:rPr>
          <w:lang w:eastAsia="zh-CN"/>
        </w:rPr>
        <w:t xml:space="preserve"> which can co-exist in the same resourc</w:t>
      </w:r>
      <w:r>
        <w:rPr>
          <w:lang w:eastAsia="zh-CN"/>
        </w:rPr>
        <w:t>e pools as Rel-14 functionality</w:t>
      </w:r>
      <w:r w:rsidRPr="00CF4679">
        <w:rPr>
          <w:lang w:eastAsia="zh-CN"/>
        </w:rPr>
        <w:t xml:space="preserve"> and use the same scheduling assignment format</w:t>
      </w:r>
      <w:r>
        <w:rPr>
          <w:rFonts w:hint="eastAsia"/>
          <w:lang w:eastAsia="zh-CN"/>
        </w:rPr>
        <w:t xml:space="preserve"> (</w:t>
      </w:r>
      <w:r>
        <w:t>which can be decoded by Rel-14 UEs</w:t>
      </w:r>
      <w:r>
        <w:rPr>
          <w:rFonts w:hint="eastAsia"/>
          <w:lang w:eastAsia="zh-CN"/>
        </w:rPr>
        <w:t>)</w:t>
      </w:r>
      <w:r w:rsidRPr="00CF4679">
        <w:rPr>
          <w:lang w:eastAsia="zh-CN"/>
        </w:rPr>
        <w:t>, without causing significant degradation to Rel-14 PC5 operation</w:t>
      </w:r>
      <w:r>
        <w:rPr>
          <w:rFonts w:hint="eastAsia"/>
          <w:lang w:eastAsia="zh-CN"/>
        </w:rPr>
        <w:t xml:space="preserve"> compared to that of Rel-14 UEs: </w:t>
      </w:r>
      <w:r w:rsidRPr="00CF4679">
        <w:rPr>
          <w:rFonts w:hint="eastAsia"/>
          <w:lang w:eastAsia="zh-CN"/>
        </w:rPr>
        <w:t>[</w:t>
      </w:r>
      <w:r w:rsidRPr="00CF4679">
        <w:rPr>
          <w:lang w:eastAsia="zh-CN"/>
        </w:rPr>
        <w:t>RAN</w:t>
      </w:r>
      <w:r>
        <w:rPr>
          <w:rFonts w:hint="eastAsia"/>
          <w:lang w:eastAsia="zh-CN"/>
        </w:rPr>
        <w:t>1</w:t>
      </w:r>
      <w:r w:rsidRPr="00CF4679">
        <w:rPr>
          <w:lang w:eastAsia="zh-CN"/>
        </w:rPr>
        <w:t>, RAN</w:t>
      </w:r>
      <w:r>
        <w:rPr>
          <w:rFonts w:hint="eastAsia"/>
          <w:lang w:eastAsia="zh-CN"/>
        </w:rPr>
        <w:t>2</w:t>
      </w:r>
      <w:r w:rsidRPr="00CF4679">
        <w:rPr>
          <w:lang w:eastAsia="zh-CN"/>
        </w:rPr>
        <w:t xml:space="preserve">, </w:t>
      </w:r>
      <w:r>
        <w:rPr>
          <w:rFonts w:hint="eastAsia"/>
          <w:lang w:eastAsia="zh-CN"/>
        </w:rPr>
        <w:t>RAN4</w:t>
      </w:r>
      <w:r w:rsidRPr="00CF4679">
        <w:rPr>
          <w:rFonts w:hint="eastAsia"/>
          <w:lang w:eastAsia="zh-CN"/>
        </w:rPr>
        <w:t>]</w:t>
      </w:r>
    </w:p>
    <w:p w14:paraId="495F713F" w14:textId="77777777" w:rsidR="00E643B0" w:rsidRPr="0024338F" w:rsidRDefault="00E643B0" w:rsidP="00E643B0">
      <w:pPr>
        <w:numPr>
          <w:ilvl w:val="1"/>
          <w:numId w:val="42"/>
        </w:numPr>
        <w:overflowPunct w:val="0"/>
        <w:autoSpaceDE w:val="0"/>
        <w:autoSpaceDN w:val="0"/>
        <w:jc w:val="both"/>
        <w:rPr>
          <w:lang w:eastAsia="zh-CN"/>
        </w:rPr>
      </w:pPr>
      <w:r>
        <w:rPr>
          <w:rFonts w:hint="eastAsia"/>
          <w:lang w:eastAsia="zh-CN"/>
        </w:rPr>
        <w:t xml:space="preserve">Carrier </w:t>
      </w:r>
      <w:r>
        <w:rPr>
          <w:lang w:eastAsia="zh-CN"/>
        </w:rPr>
        <w:t>aggregation</w:t>
      </w:r>
      <w:r>
        <w:rPr>
          <w:rFonts w:hint="eastAsia"/>
          <w:lang w:eastAsia="zh-CN"/>
        </w:rPr>
        <w:t xml:space="preserve"> (up to 8 PC5 carriers);</w:t>
      </w:r>
    </w:p>
    <w:p w14:paraId="6D88686F" w14:textId="77777777" w:rsidR="00E643B0" w:rsidRPr="0024338F" w:rsidRDefault="00E643B0" w:rsidP="00E643B0">
      <w:pPr>
        <w:numPr>
          <w:ilvl w:val="1"/>
          <w:numId w:val="42"/>
        </w:numPr>
        <w:overflowPunct w:val="0"/>
        <w:autoSpaceDE w:val="0"/>
        <w:autoSpaceDN w:val="0"/>
        <w:jc w:val="both"/>
        <w:rPr>
          <w:lang w:eastAsia="zh-CN"/>
        </w:rPr>
      </w:pPr>
      <w:r w:rsidRPr="00CF6118">
        <w:rPr>
          <w:rFonts w:hint="eastAsia"/>
          <w:lang w:eastAsia="zh-CN"/>
        </w:rPr>
        <w:t>64QAM</w:t>
      </w:r>
      <w:r>
        <w:rPr>
          <w:rFonts w:hint="eastAsia"/>
          <w:lang w:eastAsia="zh-CN"/>
        </w:rPr>
        <w:t>;</w:t>
      </w:r>
    </w:p>
    <w:p w14:paraId="251B4F68" w14:textId="77777777" w:rsidR="00E643B0" w:rsidRPr="0024338F" w:rsidRDefault="00E643B0" w:rsidP="00E643B0">
      <w:pPr>
        <w:numPr>
          <w:ilvl w:val="1"/>
          <w:numId w:val="42"/>
        </w:numPr>
        <w:overflowPunct w:val="0"/>
        <w:autoSpaceDE w:val="0"/>
        <w:autoSpaceDN w:val="0"/>
        <w:jc w:val="both"/>
        <w:rPr>
          <w:lang w:eastAsia="zh-CN"/>
        </w:rPr>
      </w:pPr>
      <w:r>
        <w:rPr>
          <w:rFonts w:hint="eastAsia"/>
          <w:lang w:eastAsia="zh-CN"/>
        </w:rPr>
        <w:t>R</w:t>
      </w:r>
      <w:r w:rsidRPr="006B6A55">
        <w:rPr>
          <w:lang w:eastAsia="zh-CN"/>
        </w:rPr>
        <w:t xml:space="preserve">educe </w:t>
      </w:r>
      <w:r>
        <w:rPr>
          <w:rFonts w:hint="eastAsia"/>
          <w:lang w:eastAsia="zh-CN"/>
        </w:rPr>
        <w:t xml:space="preserve">the </w:t>
      </w:r>
      <w:r w:rsidRPr="006B6A55">
        <w:rPr>
          <w:lang w:eastAsia="zh-CN"/>
        </w:rPr>
        <w:t>maximum time between packet arrival at Layer 1 and resource selected for transmission</w:t>
      </w:r>
      <w:r>
        <w:rPr>
          <w:rFonts w:hint="eastAsia"/>
          <w:lang w:eastAsia="zh-CN"/>
        </w:rPr>
        <w:t>;</w:t>
      </w:r>
    </w:p>
    <w:p w14:paraId="23C1FD9C" w14:textId="77777777" w:rsidR="00E643B0" w:rsidRDefault="00E643B0" w:rsidP="00E643B0">
      <w:pPr>
        <w:numPr>
          <w:ilvl w:val="1"/>
          <w:numId w:val="42"/>
        </w:numPr>
        <w:overflowPunct w:val="0"/>
        <w:autoSpaceDE w:val="0"/>
        <w:autoSpaceDN w:val="0"/>
        <w:jc w:val="both"/>
        <w:rPr>
          <w:lang w:eastAsia="zh-CN"/>
        </w:rPr>
      </w:pPr>
      <w:r>
        <w:rPr>
          <w:lang w:eastAsia="zh-CN"/>
        </w:rPr>
        <w:t>R</w:t>
      </w:r>
      <w:r>
        <w:rPr>
          <w:rFonts w:hint="eastAsia"/>
          <w:lang w:eastAsia="zh-CN"/>
        </w:rPr>
        <w:t xml:space="preserve">adio resource pool sharing </w:t>
      </w:r>
      <w:r w:rsidRPr="0024338F">
        <w:rPr>
          <w:lang w:eastAsia="zh-CN"/>
        </w:rPr>
        <w:t>between UEs using mode 3 and UEs using mode 4</w:t>
      </w:r>
      <w:r>
        <w:rPr>
          <w:rFonts w:hint="eastAsia"/>
          <w:lang w:eastAsia="zh-CN"/>
        </w:rPr>
        <w:t>;</w:t>
      </w:r>
    </w:p>
    <w:p w14:paraId="35BDDC96" w14:textId="2EFCBA79" w:rsidR="0082409E" w:rsidRPr="00E643B0" w:rsidRDefault="009A689B" w:rsidP="004762E8">
      <w:pPr>
        <w:pStyle w:val="BodyText"/>
        <w:spacing w:after="240"/>
        <w:jc w:val="both"/>
        <w:rPr>
          <w:spacing w:val="2"/>
          <w:sz w:val="20"/>
          <w:szCs w:val="20"/>
        </w:rPr>
      </w:pPr>
      <w:r w:rsidRPr="009A689B">
        <w:rPr>
          <w:spacing w:val="2"/>
          <w:sz w:val="20"/>
          <w:szCs w:val="20"/>
        </w:rPr>
        <w:t>We discuss a), c), and d) in [3], [4], and [5], respectively.</w:t>
      </w:r>
      <w:r>
        <w:rPr>
          <w:spacing w:val="2"/>
          <w:sz w:val="20"/>
          <w:szCs w:val="20"/>
        </w:rPr>
        <w:t xml:space="preserve"> </w:t>
      </w:r>
      <w:r w:rsidR="00E643B0" w:rsidRPr="00E643B0">
        <w:rPr>
          <w:spacing w:val="2"/>
          <w:sz w:val="20"/>
          <w:szCs w:val="20"/>
        </w:rPr>
        <w:t xml:space="preserve">In </w:t>
      </w:r>
      <w:r w:rsidR="000043E7">
        <w:rPr>
          <w:spacing w:val="2"/>
          <w:sz w:val="20"/>
          <w:szCs w:val="20"/>
        </w:rPr>
        <w:fldChar w:fldCharType="begin"/>
      </w:r>
      <w:r w:rsidR="000043E7">
        <w:rPr>
          <w:spacing w:val="2"/>
          <w:sz w:val="20"/>
          <w:szCs w:val="20"/>
        </w:rPr>
        <w:instrText xml:space="preserve"> REF _Ref478127116 \r \h </w:instrText>
      </w:r>
      <w:r w:rsidR="000043E7">
        <w:rPr>
          <w:spacing w:val="2"/>
          <w:sz w:val="20"/>
          <w:szCs w:val="20"/>
        </w:rPr>
      </w:r>
      <w:r w:rsidR="000043E7">
        <w:rPr>
          <w:spacing w:val="2"/>
          <w:sz w:val="20"/>
          <w:szCs w:val="20"/>
        </w:rPr>
        <w:fldChar w:fldCharType="separate"/>
      </w:r>
      <w:r w:rsidR="001A5835">
        <w:rPr>
          <w:spacing w:val="2"/>
          <w:sz w:val="20"/>
          <w:szCs w:val="20"/>
        </w:rPr>
        <w:t>[5]</w:t>
      </w:r>
      <w:r w:rsidR="000043E7">
        <w:rPr>
          <w:spacing w:val="2"/>
          <w:sz w:val="20"/>
          <w:szCs w:val="20"/>
        </w:rPr>
        <w:fldChar w:fldCharType="end"/>
      </w:r>
      <w:r w:rsidR="00E643B0" w:rsidRPr="00E643B0">
        <w:rPr>
          <w:spacing w:val="2"/>
          <w:sz w:val="20"/>
          <w:szCs w:val="20"/>
        </w:rPr>
        <w:t xml:space="preserve">, we discuss general aspects for support of 64QAM. </w:t>
      </w:r>
      <w:r w:rsidR="00E643B0">
        <w:rPr>
          <w:spacing w:val="2"/>
          <w:sz w:val="20"/>
          <w:szCs w:val="20"/>
        </w:rPr>
        <w:t>In this paper we discuss ways of reducing the overhead associated with the AGC and GP symbols.</w:t>
      </w:r>
    </w:p>
    <w:p w14:paraId="35BDDC9D" w14:textId="5F621CCC" w:rsidR="00D12CCF" w:rsidRDefault="0089712C" w:rsidP="00D12CCF">
      <w:pPr>
        <w:pStyle w:val="Heading1"/>
      </w:pPr>
      <w:r>
        <w:t>Half-symbol transmission</w:t>
      </w:r>
    </w:p>
    <w:p w14:paraId="479CDA17" w14:textId="49D131EF" w:rsidR="00E643B0" w:rsidRDefault="00E643B0" w:rsidP="00E643B0">
      <w:pPr>
        <w:jc w:val="both"/>
      </w:pPr>
      <w:r>
        <w:t xml:space="preserve">The current specification reserves 6 symbols to AGC settling period (1), GP (1), and DM-RS (4). This increases the effective coding rate. The new WID aims at supporting larger data rates by means of 64QAM, among others. However, data rates are limited by the number of symbols used for transmission of data. Moreover, the current TBS tables result in coding rates exceeding 0.93 and even 1, as we discuss in </w:t>
      </w:r>
      <w:r w:rsidR="000043E7">
        <w:rPr>
          <w:spacing w:val="2"/>
        </w:rPr>
        <w:fldChar w:fldCharType="begin"/>
      </w:r>
      <w:r w:rsidR="000043E7">
        <w:rPr>
          <w:spacing w:val="2"/>
        </w:rPr>
        <w:instrText xml:space="preserve"> REF _Ref478127116 \r \h </w:instrText>
      </w:r>
      <w:r w:rsidR="000043E7">
        <w:rPr>
          <w:spacing w:val="2"/>
        </w:rPr>
      </w:r>
      <w:r w:rsidR="000043E7">
        <w:rPr>
          <w:spacing w:val="2"/>
        </w:rPr>
        <w:fldChar w:fldCharType="separate"/>
      </w:r>
      <w:r w:rsidR="001A5835">
        <w:rPr>
          <w:spacing w:val="2"/>
        </w:rPr>
        <w:t>[5]</w:t>
      </w:r>
      <w:r w:rsidR="000043E7">
        <w:rPr>
          <w:spacing w:val="2"/>
        </w:rPr>
        <w:fldChar w:fldCharType="end"/>
      </w:r>
      <w:r>
        <w:t>.</w:t>
      </w:r>
    </w:p>
    <w:p w14:paraId="35BDDC9F" w14:textId="77777777" w:rsidR="009D49B2" w:rsidRDefault="00283FFD" w:rsidP="00E643B0">
      <w:pPr>
        <w:pStyle w:val="Heading2"/>
      </w:pPr>
      <w:r>
        <w:t>Comb-like transmission of data and shortened AGC settling period</w:t>
      </w:r>
    </w:p>
    <w:p w14:paraId="35BDDCA0" w14:textId="00AFF88B" w:rsidR="00283FFD" w:rsidRDefault="00E643B0" w:rsidP="001A5835">
      <w:pPr>
        <w:jc w:val="both"/>
      </w:pPr>
      <w:r>
        <w:t xml:space="preserve">In the current specification, </w:t>
      </w:r>
      <w:r w:rsidR="00283FFD">
        <w:t xml:space="preserve">the first OFDM symbol in a transmission may be lost due to the settling time of the receiver AGC. </w:t>
      </w:r>
      <w:r w:rsidR="00E7361E">
        <w:t>We believe that is currently possible to reduce this settling period and hence reduce the system overhead. More specifically, we believe that a time interval equivalent to half OFDM symbol (~33.35 µs</w:t>
      </w:r>
      <w:r w:rsidR="00CC404B">
        <w:t>, with normal CP</w:t>
      </w:r>
      <w:r w:rsidR="00E7361E">
        <w:t>) is sufficient. Note that this reduced AGC settling period is still significantly larger than the one used by 802.11p receivers.</w:t>
      </w:r>
    </w:p>
    <w:p w14:paraId="35BDDCA1" w14:textId="5E214257" w:rsidR="00E7361E" w:rsidRDefault="00E7361E" w:rsidP="00E643B0">
      <w:pPr>
        <w:jc w:val="both"/>
      </w:pPr>
      <w:r>
        <w:t>To exploit the shortened AGC settling period, we propose to use Comb-like transmission of data in the first OFDM symbol</w:t>
      </w:r>
      <w:r w:rsidR="00195B0E">
        <w:t xml:space="preserve">. That is, the transmitter uses only every other subcarrier within its allocated band, setting to zero the remaining subcarriers. In this way, the resulting time-domain vector contains the two identical half-symbols. </w:t>
      </w:r>
      <w:r w:rsidR="006433B2">
        <w:t xml:space="preserve">This is illustrated in </w:t>
      </w:r>
      <w:r w:rsidR="006433B2">
        <w:fldChar w:fldCharType="begin"/>
      </w:r>
      <w:r w:rsidR="006433B2">
        <w:instrText xml:space="preserve"> REF _Ref445739197 \h </w:instrText>
      </w:r>
      <w:r w:rsidR="006433B2">
        <w:fldChar w:fldCharType="separate"/>
      </w:r>
      <w:r w:rsidR="001A5835">
        <w:t xml:space="preserve">Figure </w:t>
      </w:r>
      <w:r w:rsidR="001A5835">
        <w:rPr>
          <w:noProof/>
        </w:rPr>
        <w:t>1</w:t>
      </w:r>
      <w:r w:rsidR="006433B2">
        <w:fldChar w:fldCharType="end"/>
      </w:r>
      <w:r w:rsidR="006433B2">
        <w:t>.</w:t>
      </w:r>
    </w:p>
    <w:p w14:paraId="35BDDCA2" w14:textId="77777777" w:rsidR="006433B2" w:rsidRDefault="00195B0E" w:rsidP="00E643B0">
      <w:pPr>
        <w:keepNext/>
        <w:jc w:val="center"/>
      </w:pPr>
      <w:r>
        <w:rPr>
          <w:noProof/>
          <w:lang w:val="en-US"/>
        </w:rPr>
        <w:drawing>
          <wp:inline distT="0" distB="0" distL="0" distR="0" wp14:anchorId="35BDDCBE" wp14:editId="35BDDCBF">
            <wp:extent cx="5760000" cy="1915088"/>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000" cy="1915088"/>
                    </a:xfrm>
                    <a:prstGeom prst="rect">
                      <a:avLst/>
                    </a:prstGeom>
                    <a:noFill/>
                  </pic:spPr>
                </pic:pic>
              </a:graphicData>
            </a:graphic>
          </wp:inline>
        </w:drawing>
      </w:r>
    </w:p>
    <w:p w14:paraId="35BDDCA3" w14:textId="7E40802F" w:rsidR="00195B0E" w:rsidRDefault="006433B2" w:rsidP="00E643B0">
      <w:pPr>
        <w:pStyle w:val="Caption"/>
        <w:jc w:val="center"/>
      </w:pPr>
      <w:bookmarkStart w:id="4" w:name="_Ref445739197"/>
      <w:r>
        <w:t xml:space="preserve">Figure </w:t>
      </w:r>
      <w:r>
        <w:fldChar w:fldCharType="begin"/>
      </w:r>
      <w:r>
        <w:instrText xml:space="preserve"> SEQ Figure \* ARABIC </w:instrText>
      </w:r>
      <w:r>
        <w:fldChar w:fldCharType="separate"/>
      </w:r>
      <w:r w:rsidR="001A5835">
        <w:rPr>
          <w:noProof/>
        </w:rPr>
        <w:t>1</w:t>
      </w:r>
      <w:r>
        <w:fldChar w:fldCharType="end"/>
      </w:r>
      <w:bookmarkEnd w:id="4"/>
      <w:r w:rsidR="00DF6EB0">
        <w:t xml:space="preserve">. Illustration of generation of a comb-like OFDM symbol at the transmitter. </w:t>
      </w:r>
    </w:p>
    <w:p w14:paraId="35BDDCA4" w14:textId="702CF710" w:rsidR="00546E41" w:rsidRDefault="00546E41" w:rsidP="00E643B0">
      <w:pPr>
        <w:jc w:val="both"/>
      </w:pPr>
      <w:r>
        <w:t>With the shortened AGC settling period, the first half symbol (of the first OFDM symbol) is lost.</w:t>
      </w:r>
      <w:r w:rsidR="006433B2">
        <w:t xml:space="preserve"> However, the receiver is still able to decode the entire Comb OFDM symbol, since all the information is contained in the second half symbol. The legacy </w:t>
      </w:r>
      <w:r w:rsidR="006433B2">
        <w:lastRenderedPageBreak/>
        <w:t xml:space="preserve">receiver structure </w:t>
      </w:r>
      <w:r w:rsidR="00E17C22">
        <w:t xml:space="preserve">with minor changes </w:t>
      </w:r>
      <w:r w:rsidR="006433B2">
        <w:t xml:space="preserve">can be reused to decode the entire Comb OFDM symbol. For example, the receiver may duplicate the second half symbol, as illustrated in </w:t>
      </w:r>
      <w:r w:rsidR="006433B2">
        <w:fldChar w:fldCharType="begin"/>
      </w:r>
      <w:r w:rsidR="006433B2">
        <w:instrText xml:space="preserve"> REF _Ref445739181 \h </w:instrText>
      </w:r>
      <w:r w:rsidR="006433B2">
        <w:fldChar w:fldCharType="separate"/>
      </w:r>
      <w:r w:rsidR="001A5835">
        <w:t xml:space="preserve">Figure </w:t>
      </w:r>
      <w:r w:rsidR="001A5835">
        <w:rPr>
          <w:noProof/>
        </w:rPr>
        <w:t>2</w:t>
      </w:r>
      <w:r w:rsidR="006433B2">
        <w:fldChar w:fldCharType="end"/>
      </w:r>
    </w:p>
    <w:p w14:paraId="35BDDCA5" w14:textId="77777777" w:rsidR="006433B2" w:rsidRDefault="006433B2" w:rsidP="00E643B0">
      <w:pPr>
        <w:keepNext/>
        <w:jc w:val="center"/>
      </w:pPr>
      <w:r>
        <w:rPr>
          <w:noProof/>
          <w:lang w:val="en-US"/>
        </w:rPr>
        <w:drawing>
          <wp:inline distT="0" distB="0" distL="0" distR="0" wp14:anchorId="35BDDCC0" wp14:editId="35BDDCC1">
            <wp:extent cx="5760000" cy="1575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000" cy="1575250"/>
                    </a:xfrm>
                    <a:prstGeom prst="rect">
                      <a:avLst/>
                    </a:prstGeom>
                    <a:noFill/>
                  </pic:spPr>
                </pic:pic>
              </a:graphicData>
            </a:graphic>
          </wp:inline>
        </w:drawing>
      </w:r>
    </w:p>
    <w:p w14:paraId="35BDDCA6" w14:textId="5BE30BC4" w:rsidR="006433B2" w:rsidRDefault="006433B2" w:rsidP="00E643B0">
      <w:pPr>
        <w:pStyle w:val="Caption"/>
        <w:jc w:val="center"/>
      </w:pPr>
      <w:bookmarkStart w:id="5" w:name="_Ref445739181"/>
      <w:r>
        <w:t xml:space="preserve">Figure </w:t>
      </w:r>
      <w:r>
        <w:fldChar w:fldCharType="begin"/>
      </w:r>
      <w:r>
        <w:instrText xml:space="preserve"> SEQ Figure \* ARABIC </w:instrText>
      </w:r>
      <w:r>
        <w:fldChar w:fldCharType="separate"/>
      </w:r>
      <w:r w:rsidR="001A5835">
        <w:rPr>
          <w:noProof/>
        </w:rPr>
        <w:t>2</w:t>
      </w:r>
      <w:r>
        <w:fldChar w:fldCharType="end"/>
      </w:r>
      <w:bookmarkEnd w:id="5"/>
      <w:r w:rsidR="00DF6EB0">
        <w:t>. Illustration of how to generate an entire OFDM symbol from the second half symbol.</w:t>
      </w:r>
    </w:p>
    <w:p w14:paraId="35BDDCA7" w14:textId="5C84184A" w:rsidR="004B5117" w:rsidRPr="00C03DC2" w:rsidRDefault="004B5117" w:rsidP="00E643B0">
      <w:pPr>
        <w:spacing w:after="0"/>
        <w:rPr>
          <w:b/>
          <w:i/>
        </w:rPr>
      </w:pPr>
      <w:r w:rsidRPr="00E643B0">
        <w:rPr>
          <w:b/>
          <w:i/>
        </w:rPr>
        <w:t>Proposal</w:t>
      </w:r>
      <w:r w:rsidR="00860117">
        <w:rPr>
          <w:b/>
          <w:i/>
        </w:rPr>
        <w:t xml:space="preserve"> 1</w:t>
      </w:r>
      <w:r w:rsidRPr="00E643B0">
        <w:rPr>
          <w:b/>
          <w:i/>
        </w:rPr>
        <w:t>:</w:t>
      </w:r>
    </w:p>
    <w:p w14:paraId="35BDDCA8" w14:textId="77777777" w:rsidR="00C03DC2" w:rsidRPr="00C03DC2" w:rsidRDefault="00C03DC2" w:rsidP="00E643B0">
      <w:pPr>
        <w:pStyle w:val="ListParagraph"/>
        <w:numPr>
          <w:ilvl w:val="0"/>
          <w:numId w:val="40"/>
        </w:numPr>
        <w:rPr>
          <w:rFonts w:ascii="Times New Roman" w:hAnsi="Times New Roman" w:cs="Times New Roman"/>
          <w:b/>
          <w:i/>
          <w:sz w:val="20"/>
          <w:szCs w:val="20"/>
        </w:rPr>
      </w:pPr>
      <w:r>
        <w:rPr>
          <w:rFonts w:ascii="Times New Roman" w:hAnsi="Times New Roman" w:cs="Times New Roman"/>
          <w:b/>
          <w:i/>
          <w:sz w:val="20"/>
          <w:szCs w:val="20"/>
        </w:rPr>
        <w:t>Send an LS to RAN4 asking whether halved AGC settling time is feasible.</w:t>
      </w:r>
    </w:p>
    <w:p w14:paraId="35BDDCA9" w14:textId="77777777" w:rsidR="004B5117" w:rsidRPr="00E643B0" w:rsidRDefault="00C03DC2" w:rsidP="00E643B0">
      <w:pPr>
        <w:pStyle w:val="ListParagraph"/>
        <w:numPr>
          <w:ilvl w:val="0"/>
          <w:numId w:val="40"/>
        </w:numPr>
        <w:rPr>
          <w:b/>
          <w:i/>
        </w:rPr>
      </w:pPr>
      <w:r w:rsidRPr="00C03DC2">
        <w:rPr>
          <w:rFonts w:ascii="Times New Roman" w:hAnsi="Times New Roman" w:cs="Times New Roman"/>
          <w:b/>
          <w:i/>
          <w:sz w:val="20"/>
          <w:szCs w:val="20"/>
        </w:rPr>
        <w:t>Comb-like</w:t>
      </w:r>
      <w:r>
        <w:rPr>
          <w:rFonts w:ascii="Times New Roman" w:hAnsi="Times New Roman" w:cs="Times New Roman"/>
          <w:b/>
          <w:i/>
          <w:sz w:val="20"/>
          <w:szCs w:val="20"/>
        </w:rPr>
        <w:t xml:space="preserve"> transmission is used for the first OFDM symbol.</w:t>
      </w:r>
    </w:p>
    <w:p w14:paraId="35BDDCAA" w14:textId="77777777" w:rsidR="00283FFD" w:rsidRPr="00283FFD" w:rsidRDefault="00283FFD" w:rsidP="00E643B0">
      <w:pPr>
        <w:pStyle w:val="Heading2"/>
      </w:pPr>
      <w:r>
        <w:t>Shortened guard period</w:t>
      </w:r>
    </w:p>
    <w:p w14:paraId="35BDDCAB" w14:textId="57FFF93E" w:rsidR="00E17C22" w:rsidRDefault="00860117" w:rsidP="00860117">
      <w:pPr>
        <w:jc w:val="both"/>
      </w:pPr>
      <w:r>
        <w:t xml:space="preserve">In the current specification, the last symbol is used a GP. This corresponds to a safety zone of 20 km. We believe that it is possible </w:t>
      </w:r>
      <w:r w:rsidR="00CC404B">
        <w:t>to use part of the last OFDM symbol</w:t>
      </w:r>
      <w:r>
        <w:t xml:space="preserve"> without impacting cellular users</w:t>
      </w:r>
      <w:r w:rsidR="00CC404B">
        <w:t xml:space="preserve">. We propose to </w:t>
      </w:r>
      <w:r w:rsidR="00E17C22">
        <w:t xml:space="preserve">transmit during the first half of the last OFDM symbol. For this purpose, we propose to utilize the scheme illustrated in </w:t>
      </w:r>
      <w:r w:rsidR="00E17C22">
        <w:fldChar w:fldCharType="begin"/>
      </w:r>
      <w:r w:rsidR="00E17C22">
        <w:instrText xml:space="preserve"> REF _Ref445739197 \h </w:instrText>
      </w:r>
      <w:r w:rsidR="00E17C22">
        <w:fldChar w:fldCharType="separate"/>
      </w:r>
      <w:r w:rsidR="001A5835">
        <w:t xml:space="preserve">Figure </w:t>
      </w:r>
      <w:r w:rsidR="001A5835">
        <w:rPr>
          <w:noProof/>
        </w:rPr>
        <w:t>1</w:t>
      </w:r>
      <w:r w:rsidR="00E17C22">
        <w:fldChar w:fldCharType="end"/>
      </w:r>
      <w:r w:rsidR="00E17C22">
        <w:t xml:space="preserve">. However, to realize the guard period, only the first half symbol is transmitted. Again, the legacy receiver structure with minor changes can be reused to decode the entire Comb OFDM symbol. For example, the receiver may duplicate the second half symbol, as illustrated in </w:t>
      </w:r>
      <w:r w:rsidR="00E17C22">
        <w:fldChar w:fldCharType="begin"/>
      </w:r>
      <w:r w:rsidR="00E17C22">
        <w:instrText xml:space="preserve"> REF _Ref445740623 \h </w:instrText>
      </w:r>
      <w:r w:rsidR="00E17C22">
        <w:fldChar w:fldCharType="separate"/>
      </w:r>
      <w:r w:rsidR="001A5835">
        <w:t xml:space="preserve">Figure </w:t>
      </w:r>
      <w:r w:rsidR="001A5835">
        <w:rPr>
          <w:noProof/>
        </w:rPr>
        <w:t>3</w:t>
      </w:r>
      <w:r w:rsidR="00E17C22">
        <w:fldChar w:fldCharType="end"/>
      </w:r>
      <w:r w:rsidR="00E17C22">
        <w:t>.</w:t>
      </w:r>
    </w:p>
    <w:p w14:paraId="35BDDCAC" w14:textId="77777777" w:rsidR="00E17C22" w:rsidRDefault="00E17C22" w:rsidP="00E643B0">
      <w:pPr>
        <w:keepNext/>
        <w:jc w:val="center"/>
      </w:pPr>
      <w:r>
        <w:rPr>
          <w:noProof/>
          <w:lang w:val="en-US"/>
        </w:rPr>
        <w:drawing>
          <wp:inline distT="0" distB="0" distL="0" distR="0" wp14:anchorId="35BDDCC2" wp14:editId="35BDDCC3">
            <wp:extent cx="5760000" cy="1572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00" cy="1572945"/>
                    </a:xfrm>
                    <a:prstGeom prst="rect">
                      <a:avLst/>
                    </a:prstGeom>
                    <a:noFill/>
                  </pic:spPr>
                </pic:pic>
              </a:graphicData>
            </a:graphic>
          </wp:inline>
        </w:drawing>
      </w:r>
    </w:p>
    <w:p w14:paraId="35BDDCAD" w14:textId="515AA936" w:rsidR="00CC404B" w:rsidRPr="00E643B0" w:rsidRDefault="00E17C22" w:rsidP="00E643B0">
      <w:pPr>
        <w:pStyle w:val="Caption"/>
        <w:jc w:val="center"/>
        <w:rPr>
          <w:b w:val="0"/>
        </w:rPr>
      </w:pPr>
      <w:bookmarkStart w:id="6" w:name="_Ref445740623"/>
      <w:r>
        <w:t xml:space="preserve">Figure </w:t>
      </w:r>
      <w:r>
        <w:fldChar w:fldCharType="begin"/>
      </w:r>
      <w:r>
        <w:instrText xml:space="preserve"> SEQ Figure \* ARABIC </w:instrText>
      </w:r>
      <w:r>
        <w:fldChar w:fldCharType="separate"/>
      </w:r>
      <w:r w:rsidR="001A5835">
        <w:rPr>
          <w:noProof/>
        </w:rPr>
        <w:t>3</w:t>
      </w:r>
      <w:r>
        <w:fldChar w:fldCharType="end"/>
      </w:r>
      <w:bookmarkEnd w:id="6"/>
      <w:r w:rsidR="00DF6EB0">
        <w:t>. Illustration of how to generate an entire OFDM symbol from the first half symbol.</w:t>
      </w:r>
    </w:p>
    <w:p w14:paraId="35BDDCB1" w14:textId="421E5814" w:rsidR="00C03DC2" w:rsidRPr="00C03DC2" w:rsidRDefault="00C03DC2" w:rsidP="00E643B0">
      <w:pPr>
        <w:spacing w:before="240" w:after="0"/>
        <w:rPr>
          <w:b/>
          <w:i/>
        </w:rPr>
      </w:pPr>
      <w:r w:rsidRPr="00C03DC2">
        <w:rPr>
          <w:b/>
          <w:i/>
        </w:rPr>
        <w:t>Proposal</w:t>
      </w:r>
      <w:r w:rsidR="00860117">
        <w:rPr>
          <w:b/>
          <w:i/>
        </w:rPr>
        <w:t xml:space="preserve"> 2</w:t>
      </w:r>
      <w:r w:rsidRPr="00C03DC2">
        <w:rPr>
          <w:b/>
          <w:i/>
        </w:rPr>
        <w:t>:</w:t>
      </w:r>
    </w:p>
    <w:p w14:paraId="35BDDCB2" w14:textId="64C016B1" w:rsidR="006A7472" w:rsidRPr="00EF6EB4" w:rsidRDefault="00C03DC2" w:rsidP="00E643B0">
      <w:pPr>
        <w:pStyle w:val="ListParagraph"/>
        <w:numPr>
          <w:ilvl w:val="0"/>
          <w:numId w:val="40"/>
        </w:numPr>
        <w:jc w:val="both"/>
      </w:pPr>
      <w:r w:rsidRPr="00E643B0">
        <w:rPr>
          <w:rFonts w:ascii="Times New Roman" w:hAnsi="Times New Roman" w:cs="Times New Roman"/>
          <w:b/>
          <w:i/>
          <w:sz w:val="20"/>
          <w:szCs w:val="20"/>
        </w:rPr>
        <w:t xml:space="preserve">Comb-like transmission is used for </w:t>
      </w:r>
      <w:r>
        <w:rPr>
          <w:rFonts w:ascii="Times New Roman" w:hAnsi="Times New Roman" w:cs="Times New Roman"/>
          <w:b/>
          <w:i/>
          <w:sz w:val="20"/>
          <w:szCs w:val="20"/>
        </w:rPr>
        <w:t>the guard period. Only the first half symbol is actually transmitted</w:t>
      </w:r>
      <w:r w:rsidRPr="00E643B0">
        <w:rPr>
          <w:rFonts w:ascii="Times New Roman" w:hAnsi="Times New Roman" w:cs="Times New Roman"/>
          <w:b/>
          <w:i/>
          <w:sz w:val="20"/>
          <w:szCs w:val="20"/>
        </w:rPr>
        <w:t>.</w:t>
      </w:r>
    </w:p>
    <w:p w14:paraId="35BDDCB5" w14:textId="63FA8D19" w:rsidR="00D0339F" w:rsidRDefault="00D0339F" w:rsidP="00D0339F">
      <w:pPr>
        <w:pStyle w:val="Heading1"/>
      </w:pPr>
      <w:r w:rsidRPr="00744368">
        <w:t>Conclusions</w:t>
      </w:r>
      <w:r w:rsidR="00A11B11" w:rsidRPr="00744368">
        <w:t xml:space="preserve"> </w:t>
      </w:r>
    </w:p>
    <w:p w14:paraId="1E03DE83" w14:textId="309671FA" w:rsidR="0089712C" w:rsidRPr="0089712C" w:rsidRDefault="0089712C" w:rsidP="0089712C">
      <w:r>
        <w:t>In this paper we have discussed a way of reducing the overhead associated with the AGC and GP symbols. We have observed and proposed the following</w:t>
      </w:r>
    </w:p>
    <w:p w14:paraId="4FA5F37C" w14:textId="77777777" w:rsidR="00860117" w:rsidRPr="00C03DC2" w:rsidRDefault="00860117" w:rsidP="00860117">
      <w:pPr>
        <w:spacing w:after="0"/>
        <w:rPr>
          <w:b/>
          <w:i/>
        </w:rPr>
      </w:pPr>
      <w:r w:rsidRPr="00E643B0">
        <w:rPr>
          <w:b/>
          <w:i/>
        </w:rPr>
        <w:t>Proposal</w:t>
      </w:r>
      <w:r>
        <w:rPr>
          <w:b/>
          <w:i/>
        </w:rPr>
        <w:t xml:space="preserve"> 1</w:t>
      </w:r>
      <w:r w:rsidRPr="00E643B0">
        <w:rPr>
          <w:b/>
          <w:i/>
        </w:rPr>
        <w:t>:</w:t>
      </w:r>
    </w:p>
    <w:p w14:paraId="2C7AAB53" w14:textId="77777777" w:rsidR="00860117" w:rsidRPr="00C03DC2" w:rsidRDefault="00860117" w:rsidP="00860117">
      <w:pPr>
        <w:pStyle w:val="ListParagraph"/>
        <w:numPr>
          <w:ilvl w:val="0"/>
          <w:numId w:val="40"/>
        </w:numPr>
        <w:rPr>
          <w:rFonts w:ascii="Times New Roman" w:hAnsi="Times New Roman" w:cs="Times New Roman"/>
          <w:b/>
          <w:i/>
          <w:sz w:val="20"/>
          <w:szCs w:val="20"/>
        </w:rPr>
      </w:pPr>
      <w:r>
        <w:rPr>
          <w:rFonts w:ascii="Times New Roman" w:hAnsi="Times New Roman" w:cs="Times New Roman"/>
          <w:b/>
          <w:i/>
          <w:sz w:val="20"/>
          <w:szCs w:val="20"/>
        </w:rPr>
        <w:t>Send an LS to RAN4 asking whether halved AGC settling time is feasible.</w:t>
      </w:r>
    </w:p>
    <w:p w14:paraId="790B495E" w14:textId="77777777" w:rsidR="00860117" w:rsidRPr="00E643B0" w:rsidRDefault="00860117" w:rsidP="00860117">
      <w:pPr>
        <w:pStyle w:val="ListParagraph"/>
        <w:numPr>
          <w:ilvl w:val="0"/>
          <w:numId w:val="40"/>
        </w:numPr>
        <w:rPr>
          <w:b/>
          <w:i/>
        </w:rPr>
      </w:pPr>
      <w:r w:rsidRPr="00C03DC2">
        <w:rPr>
          <w:rFonts w:ascii="Times New Roman" w:hAnsi="Times New Roman" w:cs="Times New Roman"/>
          <w:b/>
          <w:i/>
          <w:sz w:val="20"/>
          <w:szCs w:val="20"/>
        </w:rPr>
        <w:t>Comb-like</w:t>
      </w:r>
      <w:r>
        <w:rPr>
          <w:rFonts w:ascii="Times New Roman" w:hAnsi="Times New Roman" w:cs="Times New Roman"/>
          <w:b/>
          <w:i/>
          <w:sz w:val="20"/>
          <w:szCs w:val="20"/>
        </w:rPr>
        <w:t xml:space="preserve"> transmission is used for the first OFDM symbol.</w:t>
      </w:r>
    </w:p>
    <w:p w14:paraId="7ACDB0E5" w14:textId="77777777" w:rsidR="00860117" w:rsidRPr="00C03DC2" w:rsidRDefault="00860117" w:rsidP="00860117">
      <w:pPr>
        <w:spacing w:before="240" w:after="0"/>
        <w:rPr>
          <w:b/>
          <w:i/>
        </w:rPr>
      </w:pPr>
      <w:r w:rsidRPr="00C03DC2">
        <w:rPr>
          <w:b/>
          <w:i/>
        </w:rPr>
        <w:t>Proposal</w:t>
      </w:r>
      <w:r>
        <w:rPr>
          <w:b/>
          <w:i/>
        </w:rPr>
        <w:t xml:space="preserve"> 2</w:t>
      </w:r>
      <w:r w:rsidRPr="00C03DC2">
        <w:rPr>
          <w:b/>
          <w:i/>
        </w:rPr>
        <w:t>:</w:t>
      </w:r>
    </w:p>
    <w:p w14:paraId="35BDDCB7" w14:textId="38336436" w:rsidR="00917997" w:rsidRPr="00860117" w:rsidRDefault="00860117" w:rsidP="005918AE">
      <w:pPr>
        <w:pStyle w:val="ListParagraph"/>
        <w:numPr>
          <w:ilvl w:val="0"/>
          <w:numId w:val="40"/>
        </w:numPr>
        <w:jc w:val="both"/>
      </w:pPr>
      <w:r w:rsidRPr="00860117">
        <w:rPr>
          <w:rFonts w:ascii="Times New Roman" w:hAnsi="Times New Roman" w:cs="Times New Roman"/>
          <w:b/>
          <w:i/>
          <w:sz w:val="20"/>
          <w:szCs w:val="20"/>
        </w:rPr>
        <w:t>Comb-like transmission is used for the guard period. Only the first half symbol is actually transmitted.</w:t>
      </w:r>
    </w:p>
    <w:p w14:paraId="35BDDCB8" w14:textId="77777777" w:rsidR="009A1074" w:rsidRPr="00DA1475" w:rsidRDefault="00C02A80" w:rsidP="00856691">
      <w:pPr>
        <w:pStyle w:val="Heading1"/>
      </w:pPr>
      <w:r w:rsidRPr="00DA1475">
        <w:t>References</w:t>
      </w:r>
    </w:p>
    <w:p w14:paraId="24CD3846" w14:textId="77777777" w:rsidR="00056266" w:rsidRPr="00056266" w:rsidRDefault="00056266" w:rsidP="00056266">
      <w:pPr>
        <w:pStyle w:val="ListParagraph"/>
        <w:numPr>
          <w:ilvl w:val="0"/>
          <w:numId w:val="43"/>
        </w:numPr>
        <w:ind w:left="567" w:hanging="425"/>
        <w:rPr>
          <w:rFonts w:ascii="Times New Roman" w:hAnsi="Times New Roman" w:cs="Times New Roman"/>
          <w:color w:val="312E25"/>
          <w:sz w:val="20"/>
          <w:szCs w:val="20"/>
          <w:lang w:eastAsia="sv-SE"/>
        </w:rPr>
      </w:pPr>
      <w:bookmarkStart w:id="7" w:name="_Ref478047449"/>
      <w:bookmarkStart w:id="8" w:name="_Ref478127035"/>
      <w:r w:rsidRPr="00056266">
        <w:rPr>
          <w:rFonts w:ascii="Times New Roman" w:hAnsi="Times New Roman" w:cs="Times New Roman"/>
          <w:color w:val="312E25"/>
          <w:sz w:val="20"/>
          <w:szCs w:val="20"/>
          <w:lang w:eastAsia="sv-SE"/>
        </w:rPr>
        <w:t>RP-170798, “New WID on 3GPP V2X Phase 2”</w:t>
      </w:r>
      <w:bookmarkEnd w:id="7"/>
      <w:r w:rsidRPr="00056266">
        <w:rPr>
          <w:rFonts w:ascii="Times New Roman" w:hAnsi="Times New Roman" w:cs="Times New Roman"/>
          <w:color w:val="312E25"/>
          <w:sz w:val="20"/>
          <w:szCs w:val="20"/>
          <w:lang w:eastAsia="sv-SE"/>
        </w:rPr>
        <w:t>.</w:t>
      </w:r>
      <w:bookmarkEnd w:id="8"/>
    </w:p>
    <w:p w14:paraId="6FF4AC1E" w14:textId="77777777" w:rsidR="00056266" w:rsidRPr="00056266" w:rsidRDefault="00056266" w:rsidP="00056266">
      <w:pPr>
        <w:pStyle w:val="ListParagraph"/>
        <w:numPr>
          <w:ilvl w:val="0"/>
          <w:numId w:val="43"/>
        </w:numPr>
        <w:ind w:left="567" w:hanging="425"/>
        <w:rPr>
          <w:rFonts w:ascii="Times New Roman" w:hAnsi="Times New Roman" w:cs="Times New Roman"/>
          <w:color w:val="312E25"/>
          <w:sz w:val="20"/>
          <w:szCs w:val="20"/>
          <w:lang w:eastAsia="sv-SE"/>
        </w:rPr>
      </w:pPr>
      <w:bookmarkStart w:id="9" w:name="_Ref478123183"/>
      <w:r w:rsidRPr="00056266">
        <w:rPr>
          <w:rFonts w:ascii="Times New Roman" w:hAnsi="Times New Roman" w:cs="Times New Roman"/>
          <w:color w:val="312E25"/>
          <w:sz w:val="20"/>
          <w:szCs w:val="20"/>
          <w:lang w:eastAsia="sv-SE"/>
        </w:rPr>
        <w:t>R1-1705784, “On carrier aggregation on PC5”, Ericsson</w:t>
      </w:r>
      <w:bookmarkEnd w:id="9"/>
    </w:p>
    <w:p w14:paraId="187C012C" w14:textId="77777777" w:rsidR="00056266" w:rsidRPr="00056266" w:rsidRDefault="00056266" w:rsidP="00056266">
      <w:pPr>
        <w:pStyle w:val="ListParagraph"/>
        <w:numPr>
          <w:ilvl w:val="0"/>
          <w:numId w:val="43"/>
        </w:numPr>
        <w:ind w:left="567" w:hanging="425"/>
        <w:rPr>
          <w:rFonts w:ascii="Times New Roman" w:hAnsi="Times New Roman" w:cs="Times New Roman"/>
          <w:color w:val="312E25"/>
          <w:sz w:val="20"/>
          <w:szCs w:val="20"/>
          <w:lang w:eastAsia="sv-SE"/>
        </w:rPr>
      </w:pPr>
      <w:bookmarkStart w:id="10" w:name="_Ref478123186"/>
      <w:r w:rsidRPr="00056266">
        <w:rPr>
          <w:rFonts w:ascii="Times New Roman" w:hAnsi="Times New Roman" w:cs="Times New Roman"/>
          <w:color w:val="312E25"/>
          <w:sz w:val="20"/>
          <w:szCs w:val="20"/>
          <w:lang w:eastAsia="sv-SE"/>
        </w:rPr>
        <w:t>R1-1705783, “Reducing time-to-transmit for V2X”, Ericsson</w:t>
      </w:r>
      <w:bookmarkEnd w:id="10"/>
    </w:p>
    <w:p w14:paraId="6845BBA4" w14:textId="6658D388" w:rsidR="00056266" w:rsidRPr="00056266" w:rsidRDefault="00056266" w:rsidP="00056266">
      <w:pPr>
        <w:pStyle w:val="ListParagraph"/>
        <w:numPr>
          <w:ilvl w:val="0"/>
          <w:numId w:val="43"/>
        </w:numPr>
        <w:ind w:left="567" w:hanging="425"/>
        <w:rPr>
          <w:rFonts w:ascii="Times New Roman" w:hAnsi="Times New Roman" w:cs="Times New Roman"/>
          <w:sz w:val="20"/>
          <w:szCs w:val="20"/>
        </w:rPr>
      </w:pPr>
      <w:bookmarkStart w:id="11" w:name="_Ref478123184"/>
      <w:r w:rsidRPr="00056266">
        <w:rPr>
          <w:rFonts w:ascii="Times New Roman" w:hAnsi="Times New Roman" w:cs="Times New Roman"/>
          <w:sz w:val="20"/>
          <w:szCs w:val="20"/>
        </w:rPr>
        <w:lastRenderedPageBreak/>
        <w:t>R1-1705782, “Radio resource pool sharing between mode 3 and mode 4 UEs”, Ericsson</w:t>
      </w:r>
      <w:bookmarkEnd w:id="11"/>
    </w:p>
    <w:p w14:paraId="78B7E9CF" w14:textId="70B7142C" w:rsidR="00056266" w:rsidRDefault="00056266" w:rsidP="00056266">
      <w:pPr>
        <w:pStyle w:val="ListParagraph"/>
        <w:numPr>
          <w:ilvl w:val="0"/>
          <w:numId w:val="43"/>
        </w:numPr>
        <w:ind w:left="567" w:hanging="425"/>
        <w:rPr>
          <w:rFonts w:ascii="Times New Roman" w:hAnsi="Times New Roman" w:cs="Times New Roman"/>
          <w:sz w:val="20"/>
          <w:szCs w:val="20"/>
        </w:rPr>
      </w:pPr>
      <w:bookmarkStart w:id="12" w:name="_Ref478127116"/>
      <w:r w:rsidRPr="00056266">
        <w:rPr>
          <w:rFonts w:ascii="Times New Roman" w:hAnsi="Times New Roman" w:cs="Times New Roman"/>
          <w:sz w:val="20"/>
          <w:szCs w:val="20"/>
        </w:rPr>
        <w:t>R1-170578</w:t>
      </w:r>
      <w:r w:rsidR="00646093">
        <w:rPr>
          <w:rFonts w:ascii="Times New Roman" w:hAnsi="Times New Roman" w:cs="Times New Roman"/>
          <w:sz w:val="20"/>
          <w:szCs w:val="20"/>
        </w:rPr>
        <w:t>0</w:t>
      </w:r>
      <w:r w:rsidRPr="00056266">
        <w:rPr>
          <w:rFonts w:ascii="Times New Roman" w:hAnsi="Times New Roman" w:cs="Times New Roman"/>
          <w:sz w:val="20"/>
          <w:szCs w:val="20"/>
        </w:rPr>
        <w:t>, “</w:t>
      </w:r>
      <w:r w:rsidR="00646093">
        <w:rPr>
          <w:rFonts w:ascii="Times New Roman" w:hAnsi="Times New Roman" w:cs="Times New Roman"/>
          <w:sz w:val="20"/>
          <w:szCs w:val="20"/>
        </w:rPr>
        <w:t>On 64QAM modulation operation for sidelink communications</w:t>
      </w:r>
      <w:r w:rsidRPr="00056266">
        <w:rPr>
          <w:rFonts w:ascii="Times New Roman" w:hAnsi="Times New Roman" w:cs="Times New Roman"/>
          <w:sz w:val="20"/>
          <w:szCs w:val="20"/>
        </w:rPr>
        <w:t>”, Ericsson</w:t>
      </w:r>
      <w:bookmarkEnd w:id="12"/>
    </w:p>
    <w:sectPr w:rsidR="00056266" w:rsidSect="004B319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A7306" w14:textId="77777777" w:rsidR="00F61225" w:rsidRDefault="00F61225">
      <w:r>
        <w:separator/>
      </w:r>
    </w:p>
  </w:endnote>
  <w:endnote w:type="continuationSeparator" w:id="0">
    <w:p w14:paraId="3F9E0A45" w14:textId="77777777" w:rsidR="00F61225" w:rsidRDefault="00F61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DDCCA" w14:textId="77777777" w:rsidR="00C512C8" w:rsidRDefault="00C51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DDCCB" w14:textId="77777777" w:rsidR="00C512C8" w:rsidRDefault="00C512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DDCCD" w14:textId="77777777" w:rsidR="00C512C8" w:rsidRDefault="00C51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E9E96" w14:textId="77777777" w:rsidR="00F61225" w:rsidRDefault="00F61225">
      <w:r>
        <w:separator/>
      </w:r>
    </w:p>
  </w:footnote>
  <w:footnote w:type="continuationSeparator" w:id="0">
    <w:p w14:paraId="630DD90C" w14:textId="77777777" w:rsidR="00F61225" w:rsidRDefault="00F61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DDCC8" w14:textId="77777777" w:rsidR="00C512C8" w:rsidRDefault="00C51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DDCC9" w14:textId="77777777" w:rsidR="00C512C8" w:rsidRDefault="00C51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DDCCC" w14:textId="77777777" w:rsidR="00C512C8" w:rsidRDefault="00C5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965323"/>
    <w:multiLevelType w:val="hybridMultilevel"/>
    <w:tmpl w:val="19A88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97310"/>
    <w:multiLevelType w:val="hybridMultilevel"/>
    <w:tmpl w:val="42B0E81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65D72"/>
    <w:multiLevelType w:val="hybridMultilevel"/>
    <w:tmpl w:val="5928D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DB1B79"/>
    <w:multiLevelType w:val="hybridMultilevel"/>
    <w:tmpl w:val="78A6F89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44A5175"/>
    <w:multiLevelType w:val="hybridMultilevel"/>
    <w:tmpl w:val="63EEF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464106"/>
    <w:multiLevelType w:val="hybridMultilevel"/>
    <w:tmpl w:val="A41C6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1E1992"/>
    <w:multiLevelType w:val="hybridMultilevel"/>
    <w:tmpl w:val="49B2C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35488C"/>
    <w:multiLevelType w:val="hybridMultilevel"/>
    <w:tmpl w:val="E0C43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10AEF"/>
    <w:multiLevelType w:val="hybridMultilevel"/>
    <w:tmpl w:val="56C670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361D4D"/>
    <w:multiLevelType w:val="hybridMultilevel"/>
    <w:tmpl w:val="85849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E831DF"/>
    <w:multiLevelType w:val="hybridMultilevel"/>
    <w:tmpl w:val="08285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F41AFE"/>
    <w:multiLevelType w:val="hybridMultilevel"/>
    <w:tmpl w:val="51FE0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9074561"/>
    <w:multiLevelType w:val="hybridMultilevel"/>
    <w:tmpl w:val="095C68B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9131578"/>
    <w:multiLevelType w:val="hybridMultilevel"/>
    <w:tmpl w:val="AC328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730691"/>
    <w:multiLevelType w:val="hybridMultilevel"/>
    <w:tmpl w:val="3AB83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A2D4A"/>
    <w:multiLevelType w:val="hybridMultilevel"/>
    <w:tmpl w:val="F37C8916"/>
    <w:lvl w:ilvl="0" w:tplc="379CE036">
      <w:start w:val="1"/>
      <w:numFmt w:val="decimal"/>
      <w:lvlText w:val="G%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5D635F0F"/>
    <w:multiLevelType w:val="hybridMultilevel"/>
    <w:tmpl w:val="33886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7247D2"/>
    <w:multiLevelType w:val="hybridMultilevel"/>
    <w:tmpl w:val="6DE09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001676"/>
    <w:multiLevelType w:val="hybridMultilevel"/>
    <w:tmpl w:val="BB80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80302C"/>
    <w:multiLevelType w:val="hybridMultilevel"/>
    <w:tmpl w:val="69C4E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AD0C49"/>
    <w:multiLevelType w:val="hybridMultilevel"/>
    <w:tmpl w:val="D95E9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74926102"/>
    <w:multiLevelType w:val="hybridMultilevel"/>
    <w:tmpl w:val="A734FD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2" w15:restartNumberingAfterBreak="0">
    <w:nsid w:val="7DC77ECF"/>
    <w:multiLevelType w:val="hybridMultilevel"/>
    <w:tmpl w:val="251AC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4D27AE"/>
    <w:multiLevelType w:val="hybridMultilevel"/>
    <w:tmpl w:val="D7D83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38"/>
  </w:num>
  <w:num w:numId="4">
    <w:abstractNumId w:val="18"/>
  </w:num>
  <w:num w:numId="5">
    <w:abstractNumId w:val="24"/>
  </w:num>
  <w:num w:numId="6">
    <w:abstractNumId w:val="41"/>
  </w:num>
  <w:num w:numId="7">
    <w:abstractNumId w:val="5"/>
  </w:num>
  <w:num w:numId="8">
    <w:abstractNumId w:val="2"/>
  </w:num>
  <w:num w:numId="9">
    <w:abstractNumId w:val="31"/>
  </w:num>
  <w:num w:numId="10">
    <w:abstractNumId w:val="13"/>
  </w:num>
  <w:num w:numId="11">
    <w:abstractNumId w:val="36"/>
  </w:num>
  <w:num w:numId="12">
    <w:abstractNumId w:val="19"/>
  </w:num>
  <w:num w:numId="13">
    <w:abstractNumId w:val="32"/>
  </w:num>
  <w:num w:numId="14">
    <w:abstractNumId w:val="37"/>
  </w:num>
  <w:num w:numId="15">
    <w:abstractNumId w:val="35"/>
  </w:num>
  <w:num w:numId="16">
    <w:abstractNumId w:val="7"/>
  </w:num>
  <w:num w:numId="17">
    <w:abstractNumId w:val="23"/>
  </w:num>
  <w:num w:numId="18">
    <w:abstractNumId w:val="8"/>
  </w:num>
  <w:num w:numId="19">
    <w:abstractNumId w:val="4"/>
  </w:num>
  <w:num w:numId="20">
    <w:abstractNumId w:val="26"/>
  </w:num>
  <w:num w:numId="21">
    <w:abstractNumId w:val="3"/>
  </w:num>
  <w:num w:numId="22">
    <w:abstractNumId w:val="43"/>
  </w:num>
  <w:num w:numId="23">
    <w:abstractNumId w:val="42"/>
  </w:num>
  <w:num w:numId="24">
    <w:abstractNumId w:val="20"/>
  </w:num>
  <w:num w:numId="25">
    <w:abstractNumId w:val="28"/>
  </w:num>
  <w:num w:numId="26">
    <w:abstractNumId w:val="39"/>
  </w:num>
  <w:num w:numId="27">
    <w:abstractNumId w:val="14"/>
  </w:num>
  <w:num w:numId="28">
    <w:abstractNumId w:val="6"/>
  </w:num>
  <w:num w:numId="29">
    <w:abstractNumId w:val="27"/>
  </w:num>
  <w:num w:numId="30">
    <w:abstractNumId w:val="34"/>
  </w:num>
  <w:num w:numId="31">
    <w:abstractNumId w:val="16"/>
  </w:num>
  <w:num w:numId="32">
    <w:abstractNumId w:val="22"/>
  </w:num>
  <w:num w:numId="33">
    <w:abstractNumId w:val="29"/>
  </w:num>
  <w:num w:numId="34">
    <w:abstractNumId w:val="10"/>
  </w:num>
  <w:num w:numId="35">
    <w:abstractNumId w:val="12"/>
  </w:num>
  <w:num w:numId="36">
    <w:abstractNumId w:val="30"/>
  </w:num>
  <w:num w:numId="37">
    <w:abstractNumId w:val="21"/>
  </w:num>
  <w:num w:numId="38">
    <w:abstractNumId w:val="9"/>
  </w:num>
  <w:num w:numId="39">
    <w:abstractNumId w:val="15"/>
  </w:num>
  <w:num w:numId="40">
    <w:abstractNumId w:val="1"/>
  </w:num>
  <w:num w:numId="41">
    <w:abstractNumId w:val="11"/>
  </w:num>
  <w:num w:numId="42">
    <w:abstractNumId w:val="33"/>
  </w:num>
  <w:num w:numId="43">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40C9"/>
    <w:rsid w:val="000043A0"/>
    <w:rsid w:val="000043E7"/>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B9"/>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ACD"/>
    <w:rsid w:val="000470C0"/>
    <w:rsid w:val="00047410"/>
    <w:rsid w:val="000478A8"/>
    <w:rsid w:val="00047B7C"/>
    <w:rsid w:val="00050246"/>
    <w:rsid w:val="00050459"/>
    <w:rsid w:val="0005053C"/>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6266"/>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0B2"/>
    <w:rsid w:val="00110192"/>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AC3"/>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32A"/>
    <w:rsid w:val="001808D9"/>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E21"/>
    <w:rsid w:val="001A407D"/>
    <w:rsid w:val="001A42DE"/>
    <w:rsid w:val="001A46D8"/>
    <w:rsid w:val="001A47B9"/>
    <w:rsid w:val="001A47E0"/>
    <w:rsid w:val="001A485D"/>
    <w:rsid w:val="001A4899"/>
    <w:rsid w:val="001A4A42"/>
    <w:rsid w:val="001A4D2A"/>
    <w:rsid w:val="001A4EFD"/>
    <w:rsid w:val="001A5027"/>
    <w:rsid w:val="001A5835"/>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C38"/>
    <w:rsid w:val="00201E9D"/>
    <w:rsid w:val="002024A5"/>
    <w:rsid w:val="00202745"/>
    <w:rsid w:val="002029C4"/>
    <w:rsid w:val="00202B2C"/>
    <w:rsid w:val="00202E16"/>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6DA"/>
    <w:rsid w:val="00244A05"/>
    <w:rsid w:val="00244C23"/>
    <w:rsid w:val="00244F34"/>
    <w:rsid w:val="00245391"/>
    <w:rsid w:val="002454E1"/>
    <w:rsid w:val="002458FB"/>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5DB"/>
    <w:rsid w:val="00283507"/>
    <w:rsid w:val="00283FFD"/>
    <w:rsid w:val="0028409F"/>
    <w:rsid w:val="00284161"/>
    <w:rsid w:val="00284974"/>
    <w:rsid w:val="00284A2B"/>
    <w:rsid w:val="0028542B"/>
    <w:rsid w:val="00285769"/>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00B"/>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3917"/>
    <w:rsid w:val="0038404A"/>
    <w:rsid w:val="0038420A"/>
    <w:rsid w:val="0038443A"/>
    <w:rsid w:val="003847C1"/>
    <w:rsid w:val="00385BB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7A2"/>
    <w:rsid w:val="00420E85"/>
    <w:rsid w:val="00421118"/>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2CF5"/>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DF1"/>
    <w:rsid w:val="0054167E"/>
    <w:rsid w:val="00541D7D"/>
    <w:rsid w:val="005425A1"/>
    <w:rsid w:val="005425AE"/>
    <w:rsid w:val="0054260E"/>
    <w:rsid w:val="00542707"/>
    <w:rsid w:val="0054279D"/>
    <w:rsid w:val="00542CB1"/>
    <w:rsid w:val="00542FD6"/>
    <w:rsid w:val="00543164"/>
    <w:rsid w:val="005431AE"/>
    <w:rsid w:val="0054335A"/>
    <w:rsid w:val="0054357E"/>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E20"/>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AB6"/>
    <w:rsid w:val="0058354A"/>
    <w:rsid w:val="005837AD"/>
    <w:rsid w:val="00583BE9"/>
    <w:rsid w:val="00583C20"/>
    <w:rsid w:val="00583C28"/>
    <w:rsid w:val="00583CAF"/>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5C9"/>
    <w:rsid w:val="00595CAD"/>
    <w:rsid w:val="00596071"/>
    <w:rsid w:val="00596343"/>
    <w:rsid w:val="0059636A"/>
    <w:rsid w:val="005963CF"/>
    <w:rsid w:val="0059663C"/>
    <w:rsid w:val="0059667D"/>
    <w:rsid w:val="00596C86"/>
    <w:rsid w:val="00597127"/>
    <w:rsid w:val="0059724B"/>
    <w:rsid w:val="00597274"/>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10E"/>
    <w:rsid w:val="00617218"/>
    <w:rsid w:val="0061721E"/>
    <w:rsid w:val="0061788E"/>
    <w:rsid w:val="00617A9F"/>
    <w:rsid w:val="00617AE3"/>
    <w:rsid w:val="00617CE1"/>
    <w:rsid w:val="00617CEC"/>
    <w:rsid w:val="00617DE8"/>
    <w:rsid w:val="006205F8"/>
    <w:rsid w:val="00620C28"/>
    <w:rsid w:val="006211A5"/>
    <w:rsid w:val="00621225"/>
    <w:rsid w:val="006212FD"/>
    <w:rsid w:val="006225A2"/>
    <w:rsid w:val="006225CA"/>
    <w:rsid w:val="00622A0B"/>
    <w:rsid w:val="00623FE0"/>
    <w:rsid w:val="00624C2B"/>
    <w:rsid w:val="00625452"/>
    <w:rsid w:val="00625AD2"/>
    <w:rsid w:val="00625AF6"/>
    <w:rsid w:val="00625B9F"/>
    <w:rsid w:val="00625E19"/>
    <w:rsid w:val="00625E5C"/>
    <w:rsid w:val="00625F14"/>
    <w:rsid w:val="006260BF"/>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09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D27"/>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2BB"/>
    <w:rsid w:val="0075449A"/>
    <w:rsid w:val="00754667"/>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87A"/>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793"/>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117"/>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5B"/>
    <w:rsid w:val="00896FE8"/>
    <w:rsid w:val="0089712C"/>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446"/>
    <w:rsid w:val="00912C7C"/>
    <w:rsid w:val="00912EEC"/>
    <w:rsid w:val="0091364E"/>
    <w:rsid w:val="00913B5B"/>
    <w:rsid w:val="009149B0"/>
    <w:rsid w:val="00914B21"/>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89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9B"/>
    <w:rsid w:val="009F762F"/>
    <w:rsid w:val="009F7722"/>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F46"/>
    <w:rsid w:val="00A258F2"/>
    <w:rsid w:val="00A25A55"/>
    <w:rsid w:val="00A26545"/>
    <w:rsid w:val="00A2672A"/>
    <w:rsid w:val="00A2686E"/>
    <w:rsid w:val="00A26D9F"/>
    <w:rsid w:val="00A26E0D"/>
    <w:rsid w:val="00A27252"/>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6949"/>
    <w:rsid w:val="00AC71B2"/>
    <w:rsid w:val="00AC7C2F"/>
    <w:rsid w:val="00AD0048"/>
    <w:rsid w:val="00AD033A"/>
    <w:rsid w:val="00AD08DE"/>
    <w:rsid w:val="00AD0E8F"/>
    <w:rsid w:val="00AD0F56"/>
    <w:rsid w:val="00AD1507"/>
    <w:rsid w:val="00AD29BD"/>
    <w:rsid w:val="00AD2A5D"/>
    <w:rsid w:val="00AD314A"/>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C14"/>
    <w:rsid w:val="00B01EC6"/>
    <w:rsid w:val="00B01ECA"/>
    <w:rsid w:val="00B0211F"/>
    <w:rsid w:val="00B02611"/>
    <w:rsid w:val="00B02CC2"/>
    <w:rsid w:val="00B02CF8"/>
    <w:rsid w:val="00B02DA7"/>
    <w:rsid w:val="00B02DEB"/>
    <w:rsid w:val="00B0389E"/>
    <w:rsid w:val="00B03B0E"/>
    <w:rsid w:val="00B046BE"/>
    <w:rsid w:val="00B04EAD"/>
    <w:rsid w:val="00B05ACE"/>
    <w:rsid w:val="00B05ED5"/>
    <w:rsid w:val="00B0609F"/>
    <w:rsid w:val="00B0610F"/>
    <w:rsid w:val="00B06614"/>
    <w:rsid w:val="00B06793"/>
    <w:rsid w:val="00B07776"/>
    <w:rsid w:val="00B07D83"/>
    <w:rsid w:val="00B07DDD"/>
    <w:rsid w:val="00B100E8"/>
    <w:rsid w:val="00B10438"/>
    <w:rsid w:val="00B10E35"/>
    <w:rsid w:val="00B110CA"/>
    <w:rsid w:val="00B11440"/>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10E"/>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3DC2"/>
    <w:rsid w:val="00C0492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5CA"/>
    <w:rsid w:val="00C76613"/>
    <w:rsid w:val="00C769AF"/>
    <w:rsid w:val="00C76CD9"/>
    <w:rsid w:val="00C76E30"/>
    <w:rsid w:val="00C809F2"/>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19A"/>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62E"/>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A38"/>
    <w:rsid w:val="00D96B79"/>
    <w:rsid w:val="00D9742F"/>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5D8"/>
    <w:rsid w:val="00DA5731"/>
    <w:rsid w:val="00DA5875"/>
    <w:rsid w:val="00DA5BAA"/>
    <w:rsid w:val="00DA60CD"/>
    <w:rsid w:val="00DA6DAA"/>
    <w:rsid w:val="00DB0052"/>
    <w:rsid w:val="00DB0437"/>
    <w:rsid w:val="00DB0452"/>
    <w:rsid w:val="00DB09FA"/>
    <w:rsid w:val="00DB0FCF"/>
    <w:rsid w:val="00DB119D"/>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539"/>
    <w:rsid w:val="00E1754E"/>
    <w:rsid w:val="00E17861"/>
    <w:rsid w:val="00E17C22"/>
    <w:rsid w:val="00E20153"/>
    <w:rsid w:val="00E202F2"/>
    <w:rsid w:val="00E20581"/>
    <w:rsid w:val="00E20BE5"/>
    <w:rsid w:val="00E21AA7"/>
    <w:rsid w:val="00E22F30"/>
    <w:rsid w:val="00E23631"/>
    <w:rsid w:val="00E23AAC"/>
    <w:rsid w:val="00E24CB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3B0"/>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225"/>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8CB"/>
    <w:rsid w:val="00F66D81"/>
    <w:rsid w:val="00F66DF2"/>
    <w:rsid w:val="00F6721C"/>
    <w:rsid w:val="00F679E6"/>
    <w:rsid w:val="00F67B5F"/>
    <w:rsid w:val="00F67BE2"/>
    <w:rsid w:val="00F67DDA"/>
    <w:rsid w:val="00F70147"/>
    <w:rsid w:val="00F70399"/>
    <w:rsid w:val="00F703B5"/>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728C"/>
    <w:rsid w:val="00FB7791"/>
    <w:rsid w:val="00FB7A26"/>
    <w:rsid w:val="00FB7FF7"/>
    <w:rsid w:val="00FC0038"/>
    <w:rsid w:val="00FC0404"/>
    <w:rsid w:val="00FC0C0B"/>
    <w:rsid w:val="00FC10B6"/>
    <w:rsid w:val="00FC13C4"/>
    <w:rsid w:val="00FC1733"/>
    <w:rsid w:val="00FC19BA"/>
    <w:rsid w:val="00FC1CAD"/>
    <w:rsid w:val="00FC20F9"/>
    <w:rsid w:val="00FC245D"/>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35BDD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06182687">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750</Words>
  <Characters>4280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2017-03-24T17:21:00Z</dcterms:created>
  <dcterms:modified xsi:type="dcterms:W3CDTF">2017-03-24T17:21:00Z</dcterms:modified>
</cp:coreProperties>
</file>